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40" w:rsidRPr="00BE5FEC" w:rsidRDefault="00C94C2F" w:rsidP="00BE5FEC">
      <w:pPr>
        <w:ind w:left="2127" w:right="1749"/>
        <w:jc w:val="center"/>
        <w:rPr>
          <w:b/>
          <w:sz w:val="24"/>
          <w:lang w:val="es-ES_tradnl"/>
        </w:rPr>
      </w:pPr>
      <w:r>
        <w:rPr>
          <w:b/>
          <w:sz w:val="24"/>
          <w:lang w:val="es-ES_tradnl"/>
        </w:rPr>
        <w:t>IMPACTO DE LA PANDEMIA EN EL SISTEMA DE</w:t>
      </w:r>
      <w:r w:rsidR="00012240" w:rsidRPr="00BE5FEC">
        <w:rPr>
          <w:b/>
          <w:sz w:val="24"/>
          <w:lang w:val="es-ES_tradnl"/>
        </w:rPr>
        <w:t xml:space="preserve"> TRANSPORTE PÚBLICO DE PASAJEROS DEL ÁREA METROPOLITANA DE BUENOS AIRES</w:t>
      </w:r>
    </w:p>
    <w:p w:rsidR="00012240" w:rsidRPr="00BE5FEC" w:rsidRDefault="00012240" w:rsidP="00BE5FEC">
      <w:pPr>
        <w:tabs>
          <w:tab w:val="left" w:pos="10773"/>
        </w:tabs>
        <w:ind w:left="1418" w:right="899"/>
        <w:jc w:val="center"/>
        <w:rPr>
          <w:sz w:val="24"/>
          <w:lang w:val="es-ES_tradnl"/>
        </w:rPr>
      </w:pPr>
      <w:r w:rsidRPr="00BE5FEC">
        <w:rPr>
          <w:sz w:val="24"/>
          <w:lang w:val="es-ES_tradnl"/>
        </w:rPr>
        <w:t xml:space="preserve">Período marzo 2019 – </w:t>
      </w:r>
      <w:r w:rsidR="006E7F2A">
        <w:rPr>
          <w:sz w:val="24"/>
          <w:lang w:val="es-ES_tradnl"/>
        </w:rPr>
        <w:t>novi</w:t>
      </w:r>
      <w:r w:rsidRPr="00BE5FEC">
        <w:rPr>
          <w:sz w:val="24"/>
          <w:lang w:val="es-ES_tradnl"/>
        </w:rPr>
        <w:t>embre 2023</w:t>
      </w:r>
    </w:p>
    <w:p w:rsidR="00012240" w:rsidRPr="00BE5FEC" w:rsidRDefault="00012240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 w:rsidRPr="00BE5FEC">
        <w:rPr>
          <w:sz w:val="24"/>
          <w:lang w:val="es-ES_tradnl"/>
        </w:rPr>
        <w:t>La pandemia COVID-19 dio lugar</w:t>
      </w:r>
      <w:r w:rsidR="00E61029">
        <w:rPr>
          <w:sz w:val="24"/>
          <w:lang w:val="es-ES_tradnl"/>
        </w:rPr>
        <w:t>, a partir de marzo de 2020,</w:t>
      </w:r>
      <w:r w:rsidRPr="00BE5FEC">
        <w:rPr>
          <w:sz w:val="24"/>
          <w:lang w:val="es-ES_tradnl"/>
        </w:rPr>
        <w:t xml:space="preserve"> al cierre de actividades en la Ciudad de Buenos Aires generando la desaparición temporaria o definitiva de</w:t>
      </w:r>
      <w:r w:rsidR="00BE5FEC">
        <w:rPr>
          <w:sz w:val="24"/>
          <w:lang w:val="es-ES_tradnl"/>
        </w:rPr>
        <w:t xml:space="preserve"> muchos</w:t>
      </w:r>
      <w:r w:rsidRPr="00BE5FEC">
        <w:rPr>
          <w:sz w:val="24"/>
          <w:lang w:val="es-ES_tradnl"/>
        </w:rPr>
        <w:t xml:space="preserve"> puestos de trabajo. Este proceso que duró más de un año impulsó otro que en paralelo se venía gestando, la generalización del teletrabajo</w:t>
      </w:r>
      <w:r w:rsidR="00BE5FEC">
        <w:rPr>
          <w:sz w:val="24"/>
          <w:lang w:val="es-ES_tradnl"/>
        </w:rPr>
        <w:t>,</w:t>
      </w:r>
      <w:r w:rsidRPr="00BE5FEC">
        <w:rPr>
          <w:sz w:val="24"/>
          <w:lang w:val="es-ES_tradnl"/>
        </w:rPr>
        <w:t xml:space="preserve"> trabajo a distancia</w:t>
      </w:r>
      <w:r w:rsidR="00BE5FEC">
        <w:rPr>
          <w:sz w:val="24"/>
          <w:lang w:val="es-ES_tradnl"/>
        </w:rPr>
        <w:t xml:space="preserve"> u </w:t>
      </w:r>
      <w:r w:rsidR="00BE5FEC">
        <w:rPr>
          <w:i/>
          <w:sz w:val="24"/>
          <w:lang w:val="es-ES_tradnl"/>
        </w:rPr>
        <w:t>home office,</w:t>
      </w:r>
      <w:r w:rsidRPr="00BE5FEC">
        <w:rPr>
          <w:sz w:val="24"/>
          <w:lang w:val="es-ES_tradnl"/>
        </w:rPr>
        <w:t xml:space="preserve"> </w:t>
      </w:r>
      <w:r w:rsidR="00E61029">
        <w:rPr>
          <w:sz w:val="24"/>
          <w:lang w:val="es-ES_tradnl"/>
        </w:rPr>
        <w:t>posibilitado</w:t>
      </w:r>
      <w:r w:rsidRPr="00BE5FEC">
        <w:rPr>
          <w:sz w:val="24"/>
          <w:lang w:val="es-ES_tradnl"/>
        </w:rPr>
        <w:t xml:space="preserve"> por las nuevas tecnologías de la información. </w:t>
      </w:r>
      <w:r w:rsidR="00BE5FEC">
        <w:rPr>
          <w:sz w:val="24"/>
          <w:lang w:val="es-ES_tradnl"/>
        </w:rPr>
        <w:t>Aún superada la fase crítica de la pandemia s</w:t>
      </w:r>
      <w:r w:rsidRPr="00BE5FEC">
        <w:rPr>
          <w:sz w:val="24"/>
          <w:lang w:val="es-ES_tradnl"/>
        </w:rPr>
        <w:t>e redujeron los viajes dirigidos al Área Central y en particular al sector de ella denominado Microcentro.</w:t>
      </w:r>
    </w:p>
    <w:p w:rsidR="00012240" w:rsidRPr="00BE5FEC" w:rsidRDefault="00012240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 w:rsidRPr="00BE5FEC">
        <w:rPr>
          <w:sz w:val="24"/>
          <w:lang w:val="es-ES_tradnl"/>
        </w:rPr>
        <w:t xml:space="preserve">La pérdida de viajes impactó </w:t>
      </w:r>
      <w:r w:rsidR="009F6539">
        <w:rPr>
          <w:sz w:val="24"/>
          <w:lang w:val="es-ES_tradnl"/>
        </w:rPr>
        <w:t>en el sistema de movilidad y</w:t>
      </w:r>
      <w:r w:rsidR="00BE5FEC">
        <w:rPr>
          <w:sz w:val="24"/>
          <w:lang w:val="es-ES_tradnl"/>
        </w:rPr>
        <w:t xml:space="preserve"> transporte</w:t>
      </w:r>
      <w:r w:rsidRPr="00BE5FEC">
        <w:rPr>
          <w:sz w:val="24"/>
          <w:lang w:val="es-ES_tradnl"/>
        </w:rPr>
        <w:t xml:space="preserve"> pero en forma diferen</w:t>
      </w:r>
      <w:r w:rsidR="00442C71">
        <w:rPr>
          <w:sz w:val="24"/>
          <w:lang w:val="es-ES_tradnl"/>
        </w:rPr>
        <w:t>te</w:t>
      </w:r>
      <w:r w:rsidRPr="00BE5FEC">
        <w:rPr>
          <w:sz w:val="24"/>
          <w:lang w:val="es-ES_tradnl"/>
        </w:rPr>
        <w:t xml:space="preserve"> </w:t>
      </w:r>
      <w:r w:rsidR="00442C71">
        <w:rPr>
          <w:sz w:val="24"/>
          <w:lang w:val="es-ES_tradnl"/>
        </w:rPr>
        <w:t xml:space="preserve">en los </w:t>
      </w:r>
      <w:r w:rsidRPr="00BE5FEC">
        <w:rPr>
          <w:sz w:val="24"/>
          <w:lang w:val="es-ES_tradnl"/>
        </w:rPr>
        <w:t>distint</w:t>
      </w:r>
      <w:r w:rsidR="00442C71">
        <w:rPr>
          <w:sz w:val="24"/>
          <w:lang w:val="es-ES_tradnl"/>
        </w:rPr>
        <w:t>o</w:t>
      </w:r>
      <w:r w:rsidRPr="00BE5FEC">
        <w:rPr>
          <w:sz w:val="24"/>
          <w:lang w:val="es-ES_tradnl"/>
        </w:rPr>
        <w:t>s mod</w:t>
      </w:r>
      <w:r w:rsidR="00442C71">
        <w:rPr>
          <w:sz w:val="24"/>
          <w:lang w:val="es-ES_tradnl"/>
        </w:rPr>
        <w:t>os</w:t>
      </w:r>
      <w:r w:rsidRPr="00BE5FEC">
        <w:rPr>
          <w:sz w:val="24"/>
          <w:lang w:val="es-ES_tradnl"/>
        </w:rPr>
        <w:t xml:space="preserve">. El modo automóvil </w:t>
      </w:r>
      <w:r w:rsidR="00442C71">
        <w:rPr>
          <w:sz w:val="24"/>
          <w:lang w:val="es-ES_tradnl"/>
        </w:rPr>
        <w:t>tuvo la</w:t>
      </w:r>
      <w:r w:rsidRPr="00BE5FEC">
        <w:rPr>
          <w:sz w:val="24"/>
          <w:lang w:val="es-ES_tradnl"/>
        </w:rPr>
        <w:t xml:space="preserve"> menor pérdida desde el principio y el que </w:t>
      </w:r>
      <w:r w:rsidR="00371221" w:rsidRPr="00BE5FEC">
        <w:rPr>
          <w:sz w:val="24"/>
          <w:lang w:val="es-ES_tradnl"/>
        </w:rPr>
        <w:t xml:space="preserve">mostró la recuperación más rápida. Entre los modos públicos </w:t>
      </w:r>
      <w:r w:rsidR="00442C71">
        <w:rPr>
          <w:sz w:val="24"/>
          <w:lang w:val="es-ES_tradnl"/>
        </w:rPr>
        <w:t xml:space="preserve">tuvo la </w:t>
      </w:r>
      <w:r w:rsidR="00371221" w:rsidRPr="00BE5FEC">
        <w:rPr>
          <w:sz w:val="24"/>
          <w:lang w:val="es-ES_tradnl"/>
        </w:rPr>
        <w:t xml:space="preserve">mayor recuperación el automotor (el ómnibus o </w:t>
      </w:r>
      <w:r w:rsidR="00371221" w:rsidRPr="00BE5FEC">
        <w:rPr>
          <w:i/>
          <w:sz w:val="24"/>
          <w:lang w:val="es-ES_tradnl"/>
        </w:rPr>
        <w:t>colectivo</w:t>
      </w:r>
      <w:r w:rsidR="009F6539">
        <w:rPr>
          <w:i/>
          <w:sz w:val="24"/>
          <w:lang w:val="es-ES_tradnl"/>
        </w:rPr>
        <w:t>,</w:t>
      </w:r>
      <w:r w:rsidR="00371221" w:rsidRPr="00BE5FEC">
        <w:rPr>
          <w:i/>
          <w:sz w:val="24"/>
          <w:lang w:val="es-ES_tradnl"/>
        </w:rPr>
        <w:t xml:space="preserve"> </w:t>
      </w:r>
      <w:r w:rsidR="00371221" w:rsidRPr="00BE5FEC">
        <w:rPr>
          <w:sz w:val="24"/>
          <w:lang w:val="es-ES_tradnl"/>
        </w:rPr>
        <w:t>en la jerga local). Los modos de transporte masivo, ferrocarril suburbano y metro (</w:t>
      </w:r>
      <w:r w:rsidR="00371221" w:rsidRPr="00BE5FEC">
        <w:rPr>
          <w:i/>
          <w:sz w:val="24"/>
          <w:lang w:val="es-ES_tradnl"/>
        </w:rPr>
        <w:t>Subte</w:t>
      </w:r>
      <w:r w:rsidR="00371221" w:rsidRPr="00BE5FEC">
        <w:rPr>
          <w:sz w:val="24"/>
          <w:lang w:val="es-ES_tradnl"/>
        </w:rPr>
        <w:t>) tuvieron los menores índices de recuperación, en particular el segundo.</w:t>
      </w:r>
    </w:p>
    <w:p w:rsidR="00371221" w:rsidRPr="00BE5FEC" w:rsidRDefault="00371221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 w:rsidRPr="00BE5FEC">
        <w:rPr>
          <w:sz w:val="24"/>
          <w:lang w:val="es-ES_tradnl"/>
        </w:rPr>
        <w:t xml:space="preserve">El </w:t>
      </w:r>
      <w:r w:rsidR="00C94C2F" w:rsidRPr="00BE5FEC">
        <w:rPr>
          <w:sz w:val="24"/>
          <w:lang w:val="es-ES_tradnl"/>
        </w:rPr>
        <w:t>ÍNDICE DE RETENCIÓN</w:t>
      </w:r>
      <w:r w:rsidRPr="00BE5FEC">
        <w:rPr>
          <w:sz w:val="24"/>
          <w:lang w:val="es-ES_tradnl"/>
        </w:rPr>
        <w:t xml:space="preserve"> de demanda graficado </w:t>
      </w:r>
      <w:r w:rsidR="009F6539">
        <w:rPr>
          <w:sz w:val="24"/>
          <w:lang w:val="es-ES_tradnl"/>
        </w:rPr>
        <w:t>se define como</w:t>
      </w:r>
      <w:r w:rsidRPr="00BE5FEC">
        <w:rPr>
          <w:sz w:val="24"/>
          <w:lang w:val="es-ES_tradnl"/>
        </w:rPr>
        <w:t xml:space="preserve"> el cociente entre la cantidad de pasajeros pagos o registrados del mes corriente y la misma cantidad del últim</w:t>
      </w:r>
      <w:r w:rsidR="009F6539">
        <w:rPr>
          <w:sz w:val="24"/>
          <w:lang w:val="es-ES_tradnl"/>
        </w:rPr>
        <w:t>o</w:t>
      </w:r>
      <w:r w:rsidRPr="00BE5FEC">
        <w:rPr>
          <w:sz w:val="24"/>
          <w:lang w:val="es-ES_tradnl"/>
        </w:rPr>
        <w:t xml:space="preserve"> mes</w:t>
      </w:r>
      <w:r w:rsidR="009F6539">
        <w:rPr>
          <w:sz w:val="24"/>
          <w:lang w:val="es-ES_tradnl"/>
        </w:rPr>
        <w:t xml:space="preserve"> homónimo</w:t>
      </w:r>
      <w:r w:rsidRPr="00BE5FEC">
        <w:rPr>
          <w:sz w:val="24"/>
          <w:lang w:val="es-ES_tradnl"/>
        </w:rPr>
        <w:t xml:space="preserve"> anterior a la pandemia. </w:t>
      </w:r>
      <w:r w:rsidR="00E61029">
        <w:rPr>
          <w:sz w:val="24"/>
          <w:lang w:val="es-ES_tradnl"/>
        </w:rPr>
        <w:t>Como l</w:t>
      </w:r>
      <w:r w:rsidR="009F6539">
        <w:rPr>
          <w:sz w:val="24"/>
          <w:lang w:val="es-ES_tradnl"/>
        </w:rPr>
        <w:t>as restricciones a los viajes comenzaron a mediados de marzo de 2020</w:t>
      </w:r>
      <w:r w:rsidR="00E61029">
        <w:rPr>
          <w:sz w:val="24"/>
          <w:lang w:val="es-ES_tradnl"/>
        </w:rPr>
        <w:t xml:space="preserve"> p</w:t>
      </w:r>
      <w:r w:rsidRPr="00BE5FEC">
        <w:rPr>
          <w:sz w:val="24"/>
          <w:lang w:val="es-ES_tradnl"/>
        </w:rPr>
        <w:t xml:space="preserve">ara </w:t>
      </w:r>
      <w:r w:rsidR="009F6539">
        <w:rPr>
          <w:sz w:val="24"/>
          <w:lang w:val="es-ES_tradnl"/>
        </w:rPr>
        <w:t xml:space="preserve">evaluar la retención de demanda se </w:t>
      </w:r>
      <w:r w:rsidR="00E61029">
        <w:rPr>
          <w:sz w:val="24"/>
          <w:lang w:val="es-ES_tradnl"/>
        </w:rPr>
        <w:t>tomaron</w:t>
      </w:r>
      <w:r w:rsidR="009F6539">
        <w:rPr>
          <w:sz w:val="24"/>
          <w:lang w:val="es-ES_tradnl"/>
        </w:rPr>
        <w:t xml:space="preserve"> como meses de referencia los últimos </w:t>
      </w:r>
      <w:r w:rsidR="00E61029">
        <w:rPr>
          <w:sz w:val="24"/>
          <w:lang w:val="es-ES_tradnl"/>
        </w:rPr>
        <w:t xml:space="preserve">doce </w:t>
      </w:r>
      <w:r w:rsidR="009F6539">
        <w:rPr>
          <w:sz w:val="24"/>
          <w:lang w:val="es-ES_tradnl"/>
        </w:rPr>
        <w:t xml:space="preserve">meses completos normales, o sea </w:t>
      </w:r>
      <w:r w:rsidR="00E61029">
        <w:rPr>
          <w:sz w:val="24"/>
          <w:lang w:val="es-ES_tradnl"/>
        </w:rPr>
        <w:t xml:space="preserve">de </w:t>
      </w:r>
      <w:r w:rsidR="009F6539">
        <w:rPr>
          <w:sz w:val="24"/>
          <w:lang w:val="es-ES_tradnl"/>
        </w:rPr>
        <w:t>marzo de 2019 a febrero de 2020.</w:t>
      </w:r>
    </w:p>
    <w:p w:rsidR="00371221" w:rsidRPr="00BE5FEC" w:rsidRDefault="00371221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 w:rsidRPr="00BE5FEC">
        <w:rPr>
          <w:sz w:val="24"/>
          <w:lang w:val="es-ES_tradnl"/>
        </w:rPr>
        <w:t xml:space="preserve">El Subte, que por </w:t>
      </w:r>
      <w:r w:rsidR="009F6539">
        <w:rPr>
          <w:sz w:val="24"/>
          <w:lang w:val="es-ES_tradnl"/>
        </w:rPr>
        <w:t xml:space="preserve"> el </w:t>
      </w:r>
      <w:r w:rsidRPr="00BE5FEC">
        <w:rPr>
          <w:sz w:val="24"/>
          <w:lang w:val="es-ES_tradnl"/>
        </w:rPr>
        <w:t xml:space="preserve">diseño de su red está muy orientado al servicio del Microcentro, el área con </w:t>
      </w:r>
      <w:r w:rsidR="009F6539">
        <w:rPr>
          <w:sz w:val="24"/>
          <w:lang w:val="es-ES_tradnl"/>
        </w:rPr>
        <w:t xml:space="preserve">la </w:t>
      </w:r>
      <w:r w:rsidRPr="00BE5FEC">
        <w:rPr>
          <w:sz w:val="24"/>
          <w:lang w:val="es-ES_tradnl"/>
        </w:rPr>
        <w:t xml:space="preserve">mayor pérdida de actividad, es el sistema que tiene el menor índice global de retención de la demanda, en el orden de poco más del 70%. Pero algunas estaciones del Microcentro tienen un índice </w:t>
      </w:r>
      <w:r w:rsidR="009F6539">
        <w:rPr>
          <w:sz w:val="24"/>
          <w:lang w:val="es-ES_tradnl"/>
        </w:rPr>
        <w:t xml:space="preserve">de retención </w:t>
      </w:r>
      <w:r w:rsidRPr="00BE5FEC">
        <w:rPr>
          <w:sz w:val="24"/>
          <w:lang w:val="es-ES_tradnl"/>
        </w:rPr>
        <w:t>inferior al 60%</w:t>
      </w:r>
      <w:r w:rsidR="00BE5FEC" w:rsidRPr="00BE5FEC">
        <w:rPr>
          <w:sz w:val="24"/>
          <w:lang w:val="es-ES_tradnl"/>
        </w:rPr>
        <w:t xml:space="preserve">. El conjunto de las siete redes ferroviarias suburbanas está </w:t>
      </w:r>
      <w:r w:rsidR="006E7F2A">
        <w:rPr>
          <w:sz w:val="24"/>
          <w:lang w:val="es-ES_tradnl"/>
        </w:rPr>
        <w:t>poco</w:t>
      </w:r>
      <w:r w:rsidR="00E61029">
        <w:rPr>
          <w:sz w:val="24"/>
          <w:lang w:val="es-ES_tradnl"/>
        </w:rPr>
        <w:t xml:space="preserve"> por </w:t>
      </w:r>
      <w:r w:rsidR="006E7F2A">
        <w:rPr>
          <w:sz w:val="24"/>
          <w:lang w:val="es-ES_tradnl"/>
        </w:rPr>
        <w:t>encima</w:t>
      </w:r>
      <w:r w:rsidR="00BE5FEC" w:rsidRPr="00BE5FEC">
        <w:rPr>
          <w:sz w:val="24"/>
          <w:lang w:val="es-ES_tradnl"/>
        </w:rPr>
        <w:t xml:space="preserve"> del 80% y los colectivos</w:t>
      </w:r>
      <w:r w:rsidR="009F6539">
        <w:rPr>
          <w:sz w:val="24"/>
          <w:lang w:val="es-ES_tradnl"/>
        </w:rPr>
        <w:t xml:space="preserve"> </w:t>
      </w:r>
      <w:r w:rsidR="00D45174">
        <w:rPr>
          <w:sz w:val="24"/>
          <w:lang w:val="es-ES_tradnl"/>
        </w:rPr>
        <w:t xml:space="preserve">de la jurisdicción nacional </w:t>
      </w:r>
      <w:r w:rsidR="006E7F2A">
        <w:rPr>
          <w:sz w:val="24"/>
          <w:lang w:val="es-ES_tradnl"/>
        </w:rPr>
        <w:t>algo por debajo del</w:t>
      </w:r>
      <w:r w:rsidR="00BE5FEC" w:rsidRPr="00BE5FEC">
        <w:rPr>
          <w:sz w:val="24"/>
          <w:lang w:val="es-ES_tradnl"/>
        </w:rPr>
        <w:t xml:space="preserve"> 100%.</w:t>
      </w:r>
    </w:p>
    <w:p w:rsidR="00BE5FEC" w:rsidRDefault="00E61029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>
        <w:rPr>
          <w:sz w:val="24"/>
          <w:lang w:val="es-ES_tradnl"/>
        </w:rPr>
        <w:t>Para el</w:t>
      </w:r>
      <w:r w:rsidR="00BE5FEC" w:rsidRPr="00BE5FEC">
        <w:rPr>
          <w:sz w:val="24"/>
          <w:lang w:val="es-ES_tradnl"/>
        </w:rPr>
        <w:t xml:space="preserve"> transporte automóvil se ha usado como información el tránsito registrado en los puestos de peaje de las autopistas de jurisdicción de la Ciudad Autónoma de Buenos Aires.</w:t>
      </w:r>
      <w:r w:rsidR="009F6539">
        <w:rPr>
          <w:sz w:val="24"/>
          <w:lang w:val="es-ES_tradnl"/>
        </w:rPr>
        <w:t xml:space="preserve"> A lo largo de 2023 </w:t>
      </w:r>
      <w:r>
        <w:rPr>
          <w:sz w:val="24"/>
          <w:lang w:val="es-ES_tradnl"/>
        </w:rPr>
        <w:t>su</w:t>
      </w:r>
      <w:r w:rsidR="009F6539">
        <w:rPr>
          <w:sz w:val="24"/>
          <w:lang w:val="es-ES_tradnl"/>
        </w:rPr>
        <w:t xml:space="preserve"> índice de retención viene </w:t>
      </w:r>
      <w:r w:rsidR="006E7F2A">
        <w:rPr>
          <w:sz w:val="24"/>
          <w:lang w:val="es-ES_tradnl"/>
        </w:rPr>
        <w:t>cerca de</w:t>
      </w:r>
      <w:r w:rsidR="009F6539">
        <w:rPr>
          <w:sz w:val="24"/>
          <w:lang w:val="es-ES_tradnl"/>
        </w:rPr>
        <w:t>l 1</w:t>
      </w:r>
      <w:r w:rsidR="006E7F2A">
        <w:rPr>
          <w:sz w:val="24"/>
          <w:lang w:val="es-ES_tradnl"/>
        </w:rPr>
        <w:t>1</w:t>
      </w:r>
      <w:r w:rsidR="009F6539">
        <w:rPr>
          <w:sz w:val="24"/>
          <w:lang w:val="es-ES_tradnl"/>
        </w:rPr>
        <w:t>0%.</w:t>
      </w:r>
    </w:p>
    <w:p w:rsidR="009F6539" w:rsidRPr="00BE5FEC" w:rsidRDefault="009F6539" w:rsidP="00BE5FEC">
      <w:pPr>
        <w:tabs>
          <w:tab w:val="left" w:pos="10773"/>
        </w:tabs>
        <w:ind w:left="1418" w:right="899"/>
        <w:jc w:val="both"/>
        <w:rPr>
          <w:sz w:val="24"/>
          <w:lang w:val="es-ES_tradnl"/>
        </w:rPr>
      </w:pPr>
      <w:r>
        <w:rPr>
          <w:sz w:val="24"/>
          <w:lang w:val="es-ES_tradnl"/>
        </w:rPr>
        <w:t>Los resultados obtenidos se presentan en el gráfico siguiente.</w:t>
      </w:r>
      <w:r w:rsidR="00D45174">
        <w:rPr>
          <w:sz w:val="24"/>
          <w:lang w:val="es-ES_tradnl"/>
        </w:rPr>
        <w:t xml:space="preserve"> Las fuentes de la información son las estadísticas que publica la Ciudad Autónoma de Buenos Aires de las autopistas y el Subte, y la CNRT, Comisión Nacional de Regulación del Transporte, de los ferrocarriles y colectivos.</w:t>
      </w:r>
    </w:p>
    <w:p w:rsidR="00BE5FEC" w:rsidRDefault="00BE5FEC" w:rsidP="00012240">
      <w:pPr>
        <w:rPr>
          <w:lang w:val="es-ES_tradnl"/>
        </w:rPr>
      </w:pPr>
    </w:p>
    <w:p w:rsidR="00BE5FEC" w:rsidRDefault="00BE5FEC" w:rsidP="00012240">
      <w:pPr>
        <w:rPr>
          <w:lang w:val="es-ES_tradnl"/>
        </w:rPr>
      </w:pPr>
      <w:bookmarkStart w:id="0" w:name="_GoBack"/>
      <w:bookmarkEnd w:id="0"/>
    </w:p>
    <w:p w:rsidR="00BE5FEC" w:rsidRPr="006E7F2A" w:rsidRDefault="00BE5FEC" w:rsidP="00BE5FEC">
      <w:pPr>
        <w:jc w:val="center"/>
        <w:rPr>
          <w:lang w:val="es-ES_tradnl"/>
        </w:rPr>
      </w:pPr>
    </w:p>
    <w:p w:rsidR="00BE5FEC" w:rsidRPr="00371221" w:rsidRDefault="006E7F2A" w:rsidP="006E7F2A">
      <w:pPr>
        <w:jc w:val="center"/>
        <w:rPr>
          <w:lang w:val="es-ES_tradnl"/>
        </w:rPr>
      </w:pPr>
      <w:r>
        <w:rPr>
          <w:noProof/>
          <w:lang w:eastAsia="es-AR"/>
        </w:rPr>
        <w:drawing>
          <wp:inline distT="0" distB="0" distL="0" distR="0" wp14:anchorId="2DB17460">
            <wp:extent cx="6783572" cy="5312613"/>
            <wp:effectExtent l="19050" t="19050" r="17780" b="215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19" cy="53125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BE5FEC" w:rsidRPr="00371221" w:rsidSect="00BE5FEC">
      <w:pgSz w:w="12240" w:h="15840"/>
      <w:pgMar w:top="1418" w:right="28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0E"/>
    <w:rsid w:val="00012240"/>
    <w:rsid w:val="00033146"/>
    <w:rsid w:val="002077C9"/>
    <w:rsid w:val="002266D2"/>
    <w:rsid w:val="00230CF9"/>
    <w:rsid w:val="00322192"/>
    <w:rsid w:val="003239FC"/>
    <w:rsid w:val="00336317"/>
    <w:rsid w:val="00371221"/>
    <w:rsid w:val="00394E28"/>
    <w:rsid w:val="0039738C"/>
    <w:rsid w:val="003E280C"/>
    <w:rsid w:val="003F1CEA"/>
    <w:rsid w:val="004006FC"/>
    <w:rsid w:val="00404BA4"/>
    <w:rsid w:val="00442C71"/>
    <w:rsid w:val="004E203C"/>
    <w:rsid w:val="0056247C"/>
    <w:rsid w:val="00584C86"/>
    <w:rsid w:val="006E170D"/>
    <w:rsid w:val="006E7F2A"/>
    <w:rsid w:val="007D371C"/>
    <w:rsid w:val="00864A5C"/>
    <w:rsid w:val="008C183A"/>
    <w:rsid w:val="0093743B"/>
    <w:rsid w:val="009F6539"/>
    <w:rsid w:val="00A14FD3"/>
    <w:rsid w:val="00A55E8D"/>
    <w:rsid w:val="00AC632D"/>
    <w:rsid w:val="00B16D04"/>
    <w:rsid w:val="00B40803"/>
    <w:rsid w:val="00B5348F"/>
    <w:rsid w:val="00B94169"/>
    <w:rsid w:val="00BB4A09"/>
    <w:rsid w:val="00BE5FEC"/>
    <w:rsid w:val="00C3294D"/>
    <w:rsid w:val="00C847E4"/>
    <w:rsid w:val="00C94C2F"/>
    <w:rsid w:val="00CD2C0E"/>
    <w:rsid w:val="00D10239"/>
    <w:rsid w:val="00D45174"/>
    <w:rsid w:val="00D65824"/>
    <w:rsid w:val="00D81AB8"/>
    <w:rsid w:val="00DB5CD2"/>
    <w:rsid w:val="00DD4524"/>
    <w:rsid w:val="00E42F66"/>
    <w:rsid w:val="00E61029"/>
    <w:rsid w:val="00E702FD"/>
    <w:rsid w:val="00EA0D36"/>
    <w:rsid w:val="00EE2EA9"/>
    <w:rsid w:val="00FA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ACYA S.A.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PB</cp:lastModifiedBy>
  <cp:revision>5</cp:revision>
  <cp:lastPrinted>2023-12-01T18:06:00Z</cp:lastPrinted>
  <dcterms:created xsi:type="dcterms:W3CDTF">2023-11-15T13:57:00Z</dcterms:created>
  <dcterms:modified xsi:type="dcterms:W3CDTF">2024-01-11T20:56:00Z</dcterms:modified>
</cp:coreProperties>
</file>